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E9" w:rsidRDefault="003331E9">
      <w:pPr>
        <w:pStyle w:val="TitleIntroChap"/>
        <w:widowControl w:val="0"/>
        <w:outlineLvl w:val="0"/>
        <w:rPr>
          <w:b w:val="0"/>
          <w:bCs/>
          <w:sz w:val="28"/>
          <w:szCs w:val="36"/>
        </w:rPr>
      </w:pPr>
      <w:r>
        <w:rPr>
          <w:b w:val="0"/>
          <w:bCs/>
          <w:sz w:val="28"/>
          <w:szCs w:val="36"/>
        </w:rPr>
        <w:t xml:space="preserve">Experiment </w:t>
      </w:r>
      <w:r w:rsidR="0014491A">
        <w:rPr>
          <w:b w:val="0"/>
          <w:bCs/>
          <w:sz w:val="28"/>
          <w:szCs w:val="36"/>
        </w:rPr>
        <w:t>3</w:t>
      </w:r>
    </w:p>
    <w:p w:rsidR="003331E9" w:rsidRDefault="003331E9">
      <w:pPr>
        <w:pStyle w:val="TitleIntroChap"/>
        <w:outlineLvl w:val="0"/>
      </w:pPr>
      <w:r>
        <w:rPr>
          <w:sz w:val="36"/>
          <w:szCs w:val="36"/>
        </w:rPr>
        <w:t xml:space="preserve">The Four Op-Amp </w:t>
      </w:r>
      <w:proofErr w:type="spellStart"/>
      <w:r>
        <w:rPr>
          <w:sz w:val="36"/>
          <w:szCs w:val="36"/>
        </w:rPr>
        <w:t>Biquad</w:t>
      </w:r>
      <w:proofErr w:type="spellEnd"/>
      <w:r>
        <w:rPr>
          <w:sz w:val="36"/>
          <w:szCs w:val="36"/>
        </w:rPr>
        <w:t xml:space="preserve"> Circuit</w:t>
      </w:r>
    </w:p>
    <w:p w:rsidR="003331E9" w:rsidRDefault="003331E9">
      <w:pPr>
        <w:pStyle w:val="TitleIntroChap"/>
        <w:outlineLvl w:val="0"/>
        <w:rPr>
          <w:b w:val="0"/>
          <w:bCs/>
          <w:sz w:val="24"/>
        </w:rPr>
      </w:pPr>
      <w:r>
        <w:rPr>
          <w:b w:val="0"/>
          <w:bCs/>
          <w:sz w:val="24"/>
        </w:rPr>
        <w:t>(Experimental)</w:t>
      </w:r>
    </w:p>
    <w:p w:rsidR="003331E9" w:rsidRDefault="003331E9">
      <w:pPr>
        <w:pStyle w:val="TitleIntroII"/>
      </w:pPr>
    </w:p>
    <w:p w:rsidR="003331E9" w:rsidRDefault="003331E9">
      <w:pPr>
        <w:pStyle w:val="TitleIntroII"/>
      </w:pPr>
      <w:r>
        <w:rPr>
          <w:rFonts w:ascii="Times New Roman" w:hAnsi="Times New Roman"/>
        </w:rPr>
        <w:t>OBJECTIVE</w:t>
      </w:r>
    </w:p>
    <w:p w:rsidR="003331E9" w:rsidRDefault="003331E9">
      <w:r>
        <w:t>To build</w:t>
      </w:r>
      <w:r w:rsidR="002C6C8B">
        <w:t xml:space="preserve"> different second order (</w:t>
      </w:r>
      <w:proofErr w:type="spellStart"/>
      <w:r w:rsidR="002C6C8B">
        <w:t>biquad</w:t>
      </w:r>
      <w:proofErr w:type="spellEnd"/>
      <w:r w:rsidR="002C6C8B">
        <w:t xml:space="preserve">) filter circuits employing </w:t>
      </w:r>
      <w:r>
        <w:t>four op</w:t>
      </w:r>
      <w:r w:rsidR="002C6C8B">
        <w:t>erational amplifiers (OP-AMPs).</w:t>
      </w:r>
    </w:p>
    <w:p w:rsidR="003331E9" w:rsidRDefault="003331E9">
      <w:pPr>
        <w:pStyle w:val="TitleIntroII"/>
        <w:rPr>
          <w:rFonts w:ascii="Times New Roman" w:hAnsi="Times New Roman"/>
        </w:rPr>
      </w:pPr>
    </w:p>
    <w:p w:rsidR="003331E9" w:rsidRDefault="003331E9">
      <w:pPr>
        <w:pStyle w:val="TitleIntroII"/>
      </w:pPr>
      <w:r>
        <w:rPr>
          <w:rFonts w:ascii="Times New Roman" w:hAnsi="Times New Roman"/>
        </w:rPr>
        <w:t>INTRODUCTION</w:t>
      </w:r>
    </w:p>
    <w:p w:rsidR="003331E9" w:rsidRDefault="003331E9">
      <w:r>
        <w:t xml:space="preserve">A common practice in IC fabrication is to manufacture chips with multiple devices. A four op-amp </w:t>
      </w:r>
      <w:proofErr w:type="spellStart"/>
      <w:r>
        <w:t>biquad</w:t>
      </w:r>
      <w:proofErr w:type="spellEnd"/>
      <w:r>
        <w:t xml:space="preserve"> takes advantage of the availability o</w:t>
      </w:r>
      <w:r w:rsidR="002C6C8B">
        <w:t xml:space="preserve">f four op-amps on a single chip enabling generation of several different second order </w:t>
      </w:r>
      <w:r>
        <w:t xml:space="preserve">filter responses. The four op-amp </w:t>
      </w:r>
      <w:proofErr w:type="spellStart"/>
      <w:r>
        <w:t>biquad</w:t>
      </w:r>
      <w:proofErr w:type="spellEnd"/>
      <w:r>
        <w:t xml:space="preserve"> realizes the general biquadratic function and exhibits low-pass, band–pass, high-pass, </w:t>
      </w:r>
      <w:proofErr w:type="gramStart"/>
      <w:r>
        <w:t>band</w:t>
      </w:r>
      <w:proofErr w:type="gramEnd"/>
      <w:r>
        <w:t>-stop and all-pass characteristics simultaneously.</w:t>
      </w:r>
    </w:p>
    <w:p w:rsidR="003331E9" w:rsidRDefault="003331E9"/>
    <w:p w:rsidR="003331E9" w:rsidRDefault="003331E9">
      <w:pPr>
        <w:pStyle w:val="TitleIntroII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Four Op-Amp </w:t>
      </w:r>
      <w:proofErr w:type="spellStart"/>
      <w:r>
        <w:rPr>
          <w:rFonts w:ascii="Times New Roman" w:hAnsi="Times New Roman"/>
        </w:rPr>
        <w:t>Biquad</w:t>
      </w:r>
      <w:proofErr w:type="spellEnd"/>
      <w:r>
        <w:rPr>
          <w:rFonts w:ascii="Times New Roman" w:hAnsi="Times New Roman"/>
        </w:rPr>
        <w:t xml:space="preserve"> Circuit </w:t>
      </w:r>
    </w:p>
    <w:p w:rsidR="003331E9" w:rsidRDefault="00B95B04" w:rsidP="002B009F">
      <w:pPr>
        <w:pStyle w:val="TitleIntroChap"/>
        <w:rPr>
          <w:sz w:val="3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59.4pt;margin-top:11pt;width:356.6pt;height:257.6pt;z-index:251657728">
            <v:imagedata r:id="rId7" o:title=""/>
            <w10:wrap type="topAndBottom"/>
          </v:shape>
          <o:OLEObject Type="Embed" ProgID="Visio.Drawing.11" ShapeID="_x0000_s1041" DrawAspect="Content" ObjectID="_1486366678" r:id="rId8"/>
        </w:object>
      </w:r>
      <w:r w:rsidR="002B009F">
        <w:rPr>
          <w:sz w:val="32"/>
        </w:rPr>
        <w:t>Fig. 1</w:t>
      </w:r>
    </w:p>
    <w:p w:rsidR="003331E9" w:rsidRDefault="003331E9" w:rsidP="002B009F">
      <w:pPr>
        <w:jc w:val="both"/>
      </w:pPr>
      <w:r>
        <w:t xml:space="preserve">The four </w:t>
      </w:r>
      <w:proofErr w:type="spellStart"/>
      <w:r>
        <w:t>opamp</w:t>
      </w:r>
      <w:proofErr w:type="spellEnd"/>
      <w:r>
        <w:t xml:space="preserve"> </w:t>
      </w:r>
      <w:proofErr w:type="spellStart"/>
      <w:r>
        <w:t>biquad</w:t>
      </w:r>
      <w:proofErr w:type="spellEnd"/>
      <w:r>
        <w:t xml:space="preserve"> shown in Fig. </w:t>
      </w:r>
      <w:r w:rsidR="002B009F">
        <w:t xml:space="preserve">1 </w:t>
      </w:r>
      <w:r>
        <w:t>has the general transfer function:</w:t>
      </w:r>
    </w:p>
    <w:p w:rsidR="003331E9" w:rsidRDefault="003331E9">
      <w:pPr>
        <w:jc w:val="center"/>
      </w:pPr>
      <w:r w:rsidRPr="00221138">
        <w:rPr>
          <w:position w:val="-60"/>
        </w:rPr>
        <w:object w:dxaOrig="2940" w:dyaOrig="1320">
          <v:shape id="_x0000_i1026" type="#_x0000_t75" style="width:147pt;height:66pt" o:ole="">
            <v:imagedata r:id="rId9" o:title=""/>
          </v:shape>
          <o:OLEObject Type="Embed" ProgID="Equation.3" ShapeID="_x0000_i1026" DrawAspect="Content" ObjectID="_1486366624" r:id="rId10"/>
        </w:object>
      </w:r>
    </w:p>
    <w:p w:rsidR="003331E9" w:rsidRDefault="003331E9">
      <w:pPr>
        <w:rPr>
          <w:sz w:val="32"/>
        </w:rPr>
      </w:pPr>
      <w:r>
        <w:t xml:space="preserve">The </w:t>
      </w:r>
      <w:r w:rsidR="005F4535">
        <w:t>constants</w:t>
      </w:r>
      <w:r w:rsidRPr="00221138">
        <w:rPr>
          <w:position w:val="-10"/>
        </w:rPr>
        <w:object w:dxaOrig="240" w:dyaOrig="340">
          <v:shape id="_x0000_i1027" type="#_x0000_t75" style="width:12pt;height:17.25pt" o:ole="">
            <v:imagedata r:id="rId11" o:title=""/>
          </v:shape>
          <o:OLEObject Type="Embed" ProgID="Equation.3" ShapeID="_x0000_i1027" DrawAspect="Content" ObjectID="_1486366625" r:id="rId12"/>
        </w:object>
      </w:r>
      <w:r>
        <w:t xml:space="preserve">, </w:t>
      </w:r>
      <w:r w:rsidRPr="00221138">
        <w:rPr>
          <w:position w:val="-10"/>
        </w:rPr>
        <w:object w:dxaOrig="260" w:dyaOrig="340">
          <v:shape id="_x0000_i1028" type="#_x0000_t75" style="width:12.75pt;height:17.25pt" o:ole="">
            <v:imagedata r:id="rId13" o:title=""/>
          </v:shape>
          <o:OLEObject Type="Embed" ProgID="Equation.3" ShapeID="_x0000_i1028" DrawAspect="Content" ObjectID="_1486366626" r:id="rId14"/>
        </w:object>
      </w:r>
      <w:r>
        <w:t xml:space="preserve"> and </w:t>
      </w:r>
      <w:r w:rsidRPr="00221138">
        <w:rPr>
          <w:position w:val="-12"/>
        </w:rPr>
        <w:object w:dxaOrig="260" w:dyaOrig="360">
          <v:shape id="_x0000_i1029" type="#_x0000_t75" style="width:12.75pt;height:18pt" o:ole="">
            <v:imagedata r:id="rId15" o:title=""/>
          </v:shape>
          <o:OLEObject Type="Embed" ProgID="Equation.3" ShapeID="_x0000_i1029" DrawAspect="Content" ObjectID="_1486366627" r:id="rId16"/>
        </w:object>
      </w:r>
      <w:r>
        <w:t xml:space="preserve"> in the general transfer function determine the type of filter. For example if the constant </w:t>
      </w:r>
      <w:r w:rsidRPr="00221138">
        <w:rPr>
          <w:position w:val="-12"/>
        </w:rPr>
        <w:object w:dxaOrig="620" w:dyaOrig="360">
          <v:shape id="_x0000_i1030" type="#_x0000_t75" style="width:30.75pt;height:18pt" o:ole="">
            <v:imagedata r:id="rId17" o:title=""/>
          </v:shape>
          <o:OLEObject Type="Embed" ProgID="Equation.3" ShapeID="_x0000_i1030" DrawAspect="Content" ObjectID="_1486366628" r:id="rId18"/>
        </w:object>
      </w:r>
      <w:r>
        <w:t xml:space="preserve">and </w:t>
      </w:r>
      <w:r w:rsidR="0002410D" w:rsidRPr="0002410D">
        <w:rPr>
          <w:position w:val="-10"/>
        </w:rPr>
        <w:object w:dxaOrig="1120" w:dyaOrig="340">
          <v:shape id="_x0000_i1031" type="#_x0000_t75" style="width:56.25pt;height:17.25pt" o:ole="">
            <v:imagedata r:id="rId19" o:title=""/>
          </v:shape>
          <o:OLEObject Type="Embed" ProgID="Equation.3" ShapeID="_x0000_i1031" DrawAspect="Content" ObjectID="_1486366629" r:id="rId20"/>
        </w:object>
      </w:r>
      <w:r>
        <w:t xml:space="preserve"> the general transfer function reduces to:</w:t>
      </w:r>
    </w:p>
    <w:p w:rsidR="003331E9" w:rsidRDefault="003331E9">
      <w:pPr>
        <w:pStyle w:val="TitleIntroChap"/>
      </w:pPr>
      <w:r w:rsidRPr="00221138">
        <w:rPr>
          <w:position w:val="-60"/>
        </w:rPr>
        <w:object w:dxaOrig="2439" w:dyaOrig="1060">
          <v:shape id="_x0000_i1032" type="#_x0000_t75" style="width:122.25pt;height:53.25pt" o:ole="">
            <v:imagedata r:id="rId21" o:title=""/>
          </v:shape>
          <o:OLEObject Type="Embed" ProgID="Equation.3" ShapeID="_x0000_i1032" DrawAspect="Content" ObjectID="_1486366630" r:id="rId22"/>
        </w:object>
      </w:r>
    </w:p>
    <w:p w:rsidR="003331E9" w:rsidRDefault="003331E9">
      <w:proofErr w:type="gramStart"/>
      <w:r>
        <w:t>which</w:t>
      </w:r>
      <w:proofErr w:type="gramEnd"/>
      <w:r>
        <w:t xml:space="preserve"> is the standard low-pass transfer function with </w:t>
      </w:r>
      <w:r w:rsidRPr="00221138">
        <w:rPr>
          <w:position w:val="-12"/>
        </w:rPr>
        <w:object w:dxaOrig="720" w:dyaOrig="360">
          <v:shape id="_x0000_i1033" type="#_x0000_t75" style="width:36pt;height:18pt" o:ole="">
            <v:imagedata r:id="rId23" o:title=""/>
          </v:shape>
          <o:OLEObject Type="Embed" ProgID="Equation.3" ShapeID="_x0000_i1033" DrawAspect="Content" ObjectID="_1486366631" r:id="rId24"/>
        </w:object>
      </w:r>
      <w:r>
        <w:t>.</w:t>
      </w:r>
    </w:p>
    <w:p w:rsidR="003331E9" w:rsidRDefault="003331E9">
      <w:r>
        <w:t xml:space="preserve">Similarly, for </w:t>
      </w:r>
      <w:r w:rsidRPr="00221138">
        <w:rPr>
          <w:position w:val="-10"/>
        </w:rPr>
        <w:object w:dxaOrig="600" w:dyaOrig="340">
          <v:shape id="_x0000_i1034" type="#_x0000_t75" style="width:30pt;height:17.25pt" o:ole="">
            <v:imagedata r:id="rId25" o:title=""/>
          </v:shape>
          <o:OLEObject Type="Embed" ProgID="Equation.3" ShapeID="_x0000_i1034" DrawAspect="Content" ObjectID="_1486366632" r:id="rId26"/>
        </w:object>
      </w:r>
      <w:r>
        <w:t xml:space="preserve"> and </w:t>
      </w:r>
      <w:r w:rsidRPr="00221138">
        <w:rPr>
          <w:position w:val="-12"/>
        </w:rPr>
        <w:object w:dxaOrig="1120" w:dyaOrig="360">
          <v:shape id="_x0000_i1035" type="#_x0000_t75" style="width:56.25pt;height:18pt" o:ole="">
            <v:imagedata r:id="rId27" o:title=""/>
          </v:shape>
          <o:OLEObject Type="Embed" ProgID="Equation.3" ShapeID="_x0000_i1035" DrawAspect="Content" ObjectID="_1486366633" r:id="rId28"/>
        </w:object>
      </w:r>
      <w:r>
        <w:t xml:space="preserve"> we obtain a high-pass transfer function:</w:t>
      </w:r>
    </w:p>
    <w:p w:rsidR="003331E9" w:rsidRDefault="003331E9"/>
    <w:p w:rsidR="003331E9" w:rsidRDefault="003331E9">
      <w:pPr>
        <w:pStyle w:val="TitleIntroChap"/>
      </w:pPr>
      <w:r w:rsidRPr="00221138">
        <w:rPr>
          <w:position w:val="-60"/>
        </w:rPr>
        <w:object w:dxaOrig="2439" w:dyaOrig="1020">
          <v:shape id="_x0000_i1036" type="#_x0000_t75" style="width:122.25pt;height:51pt" o:ole="">
            <v:imagedata r:id="rId29" o:title=""/>
          </v:shape>
          <o:OLEObject Type="Embed" ProgID="Equation.3" ShapeID="_x0000_i1036" DrawAspect="Content" ObjectID="_1486366634" r:id="rId30"/>
        </w:object>
      </w:r>
    </w:p>
    <w:p w:rsidR="003331E9" w:rsidRDefault="003331E9">
      <w:r>
        <w:t xml:space="preserve">For </w:t>
      </w:r>
      <w:r w:rsidRPr="00221138">
        <w:rPr>
          <w:position w:val="-10"/>
        </w:rPr>
        <w:object w:dxaOrig="639" w:dyaOrig="340">
          <v:shape id="_x0000_i1037" type="#_x0000_t75" style="width:32.25pt;height:17.25pt" o:ole="">
            <v:imagedata r:id="rId31" o:title=""/>
          </v:shape>
          <o:OLEObject Type="Embed" ProgID="Equation.3" ShapeID="_x0000_i1037" DrawAspect="Content" ObjectID="_1486366635" r:id="rId32"/>
        </w:object>
      </w:r>
      <w:r>
        <w:t xml:space="preserve">and </w:t>
      </w:r>
      <w:r w:rsidRPr="00221138">
        <w:rPr>
          <w:position w:val="-12"/>
        </w:rPr>
        <w:object w:dxaOrig="1120" w:dyaOrig="360">
          <v:shape id="_x0000_i1038" type="#_x0000_t75" style="width:56.25pt;height:18pt" o:ole="">
            <v:imagedata r:id="rId33" o:title=""/>
          </v:shape>
          <o:OLEObject Type="Embed" ProgID="Equation.3" ShapeID="_x0000_i1038" DrawAspect="Content" ObjectID="_1486366636" r:id="rId34"/>
        </w:object>
      </w:r>
      <w:r>
        <w:t xml:space="preserve"> we obtain a band-pass transfer function:</w:t>
      </w:r>
    </w:p>
    <w:p w:rsidR="003331E9" w:rsidRDefault="003331E9">
      <w:pPr>
        <w:pStyle w:val="TitleIntroChap"/>
      </w:pPr>
      <w:r w:rsidRPr="00221138">
        <w:rPr>
          <w:position w:val="-60"/>
        </w:rPr>
        <w:object w:dxaOrig="2439" w:dyaOrig="1340">
          <v:shape id="_x0000_i1039" type="#_x0000_t75" style="width:122.25pt;height:66.75pt" o:ole="">
            <v:imagedata r:id="rId35" o:title=""/>
          </v:shape>
          <o:OLEObject Type="Embed" ProgID="Equation.3" ShapeID="_x0000_i1039" DrawAspect="Content" ObjectID="_1486366637" r:id="rId36"/>
        </w:object>
      </w:r>
    </w:p>
    <w:p w:rsidR="003331E9" w:rsidRDefault="003331E9">
      <w:r>
        <w:t xml:space="preserve">For </w:t>
      </w:r>
      <w:r w:rsidRPr="00221138">
        <w:rPr>
          <w:position w:val="-12"/>
        </w:rPr>
        <w:object w:dxaOrig="1080" w:dyaOrig="360">
          <v:shape id="_x0000_i1040" type="#_x0000_t75" style="width:54pt;height:18pt" o:ole="">
            <v:imagedata r:id="rId37" o:title=""/>
          </v:shape>
          <o:OLEObject Type="Embed" ProgID="Equation.3" ShapeID="_x0000_i1040" DrawAspect="Content" ObjectID="_1486366638" r:id="rId38"/>
        </w:object>
      </w:r>
      <w:r>
        <w:t xml:space="preserve"> and </w:t>
      </w:r>
      <w:r w:rsidRPr="00221138">
        <w:rPr>
          <w:position w:val="-10"/>
        </w:rPr>
        <w:object w:dxaOrig="680" w:dyaOrig="340">
          <v:shape id="_x0000_i1041" type="#_x0000_t75" style="width:33.75pt;height:17.25pt" o:ole="">
            <v:imagedata r:id="rId39" o:title=""/>
          </v:shape>
          <o:OLEObject Type="Embed" ProgID="Equation.3" ShapeID="_x0000_i1041" DrawAspect="Content" ObjectID="_1486366639" r:id="rId40"/>
        </w:object>
      </w:r>
      <w:r>
        <w:t>we have a band elimination (BE), also called a band-stop or notch, transfer function.</w:t>
      </w:r>
    </w:p>
    <w:p w:rsidR="003331E9" w:rsidRDefault="003331E9">
      <w:pPr>
        <w:pStyle w:val="TitleIntroChap"/>
        <w:rPr>
          <w:sz w:val="32"/>
        </w:rPr>
      </w:pPr>
      <w:r w:rsidRPr="00221138">
        <w:rPr>
          <w:position w:val="-60"/>
        </w:rPr>
        <w:object w:dxaOrig="2439" w:dyaOrig="1020">
          <v:shape id="_x0000_i1042" type="#_x0000_t75" style="width:122.25pt;height:51pt" o:ole="">
            <v:imagedata r:id="rId41" o:title=""/>
          </v:shape>
          <o:OLEObject Type="Embed" ProgID="Equation.3" ShapeID="_x0000_i1042" DrawAspect="Content" ObjectID="_1486366640" r:id="rId42"/>
        </w:object>
      </w:r>
    </w:p>
    <w:p w:rsidR="003331E9" w:rsidRDefault="003331E9">
      <w:pPr>
        <w:rPr>
          <w:sz w:val="32"/>
        </w:rPr>
      </w:pPr>
      <w:proofErr w:type="gramStart"/>
      <w:r>
        <w:t>with</w:t>
      </w:r>
      <w:proofErr w:type="gramEnd"/>
      <w:r>
        <w:t xml:space="preserve"> </w:t>
      </w:r>
      <w:r w:rsidRPr="00221138">
        <w:rPr>
          <w:position w:val="-12"/>
        </w:rPr>
        <w:object w:dxaOrig="1080" w:dyaOrig="360">
          <v:shape id="_x0000_i1043" type="#_x0000_t75" style="width:54pt;height:18pt" o:ole="">
            <v:imagedata r:id="rId37" o:title=""/>
          </v:shape>
          <o:OLEObject Type="Embed" ProgID="Equation.3" ShapeID="_x0000_i1043" DrawAspect="Content" ObjectID="_1486366641" r:id="rId43"/>
        </w:object>
      </w:r>
      <w:r>
        <w:t xml:space="preserve"> and </w:t>
      </w:r>
      <w:r w:rsidRPr="00221138">
        <w:rPr>
          <w:position w:val="-10"/>
        </w:rPr>
        <w:object w:dxaOrig="780" w:dyaOrig="340">
          <v:shape id="_x0000_i1044" type="#_x0000_t75" style="width:39pt;height:17.25pt" o:ole="">
            <v:imagedata r:id="rId44" o:title=""/>
          </v:shape>
          <o:OLEObject Type="Embed" ProgID="Equation.3" ShapeID="_x0000_i1044" DrawAspect="Content" ObjectID="_1486366642" r:id="rId45"/>
        </w:object>
      </w:r>
      <w:r>
        <w:t xml:space="preserve"> the transfer function represent an all-pass filter.</w:t>
      </w:r>
    </w:p>
    <w:p w:rsidR="003331E9" w:rsidRDefault="003331E9">
      <w:pPr>
        <w:pStyle w:val="TitleIntroChap"/>
        <w:rPr>
          <w:sz w:val="32"/>
        </w:rPr>
      </w:pPr>
      <w:r w:rsidRPr="00221138">
        <w:rPr>
          <w:position w:val="-60"/>
        </w:rPr>
        <w:object w:dxaOrig="2520" w:dyaOrig="1340">
          <v:shape id="_x0000_i1045" type="#_x0000_t75" style="width:126pt;height:66.75pt" o:ole="">
            <v:imagedata r:id="rId46" o:title=""/>
          </v:shape>
          <o:OLEObject Type="Embed" ProgID="Equation.3" ShapeID="_x0000_i1045" DrawAspect="Content" ObjectID="_1486366643" r:id="rId47"/>
        </w:object>
      </w:r>
    </w:p>
    <w:p w:rsidR="003331E9" w:rsidRDefault="003331E9">
      <w:pPr>
        <w:pStyle w:val="TitleIntroChap"/>
        <w:jc w:val="left"/>
        <w:rPr>
          <w:sz w:val="24"/>
        </w:rPr>
      </w:pPr>
      <w:r>
        <w:rPr>
          <w:sz w:val="24"/>
        </w:rPr>
        <w:t>Pre-Lab</w:t>
      </w:r>
    </w:p>
    <w:p w:rsidR="003331E9" w:rsidRDefault="003331E9">
      <w:pPr>
        <w:numPr>
          <w:ilvl w:val="0"/>
          <w:numId w:val="11"/>
        </w:numPr>
      </w:pPr>
      <w:r>
        <w:t xml:space="preserve">Derive the transfer function </w:t>
      </w:r>
      <w:r w:rsidRPr="00221138">
        <w:rPr>
          <w:position w:val="-24"/>
        </w:rPr>
        <w:object w:dxaOrig="540" w:dyaOrig="600">
          <v:shape id="_x0000_i1046" type="#_x0000_t75" style="width:27pt;height:30pt" o:ole="">
            <v:imagedata r:id="rId48" o:title=""/>
          </v:shape>
          <o:OLEObject Type="Embed" ProgID="Equation.3" ShapeID="_x0000_i1046" DrawAspect="Content" ObjectID="_1486366644" r:id="rId49"/>
        </w:object>
      </w:r>
      <w:r>
        <w:t xml:space="preserve"> </w:t>
      </w:r>
      <w:r w:rsidR="00A3200C">
        <w:t xml:space="preserve">in Fig.1, </w:t>
      </w:r>
      <w:r>
        <w:t xml:space="preserve">and compare it with the general transfer function when </w:t>
      </w:r>
      <w:r w:rsidR="00183BFA" w:rsidRPr="00221138">
        <w:rPr>
          <w:position w:val="-10"/>
        </w:rPr>
        <w:object w:dxaOrig="620" w:dyaOrig="340">
          <v:shape id="_x0000_i1047" type="#_x0000_t75" style="width:31.5pt;height:17.25pt" o:ole="">
            <v:imagedata r:id="rId50" o:title=""/>
          </v:shape>
          <o:OLEObject Type="Embed" ProgID="Equation.3" ShapeID="_x0000_i1047" DrawAspect="Content" ObjectID="_1486366645" r:id="rId51"/>
        </w:object>
      </w:r>
      <w:r>
        <w:t xml:space="preserve"> </w:t>
      </w:r>
      <w:r w:rsidR="00183BFA">
        <w:t>and</w:t>
      </w:r>
      <w:r w:rsidRPr="00221138">
        <w:rPr>
          <w:position w:val="-12"/>
        </w:rPr>
        <w:object w:dxaOrig="1120" w:dyaOrig="360">
          <v:shape id="_x0000_i1048" type="#_x0000_t75" style="width:56.25pt;height:18pt" o:ole="">
            <v:imagedata r:id="rId33" o:title=""/>
          </v:shape>
          <o:OLEObject Type="Embed" ProgID="Equation.3" ShapeID="_x0000_i1048" DrawAspect="Content" ObjectID="_1486366646" r:id="rId52"/>
        </w:object>
      </w:r>
      <w:r>
        <w:t xml:space="preserve">. What is the cut-off frequency, </w:t>
      </w:r>
      <w:r w:rsidRPr="00221138">
        <w:rPr>
          <w:position w:val="-12"/>
        </w:rPr>
        <w:object w:dxaOrig="320" w:dyaOrig="360">
          <v:shape id="_x0000_i1049" type="#_x0000_t75" style="width:15.75pt;height:18pt" o:ole="">
            <v:imagedata r:id="rId53" o:title=""/>
          </v:shape>
          <o:OLEObject Type="Embed" ProgID="Equation.3" ShapeID="_x0000_i1049" DrawAspect="Content" ObjectID="_1486366647" r:id="rId54"/>
        </w:object>
      </w:r>
      <w:r w:rsidR="00071E7A">
        <w:t>and</w:t>
      </w:r>
      <w:r w:rsidRPr="00221138">
        <w:rPr>
          <w:position w:val="-10"/>
        </w:rPr>
        <w:object w:dxaOrig="240" w:dyaOrig="320">
          <v:shape id="_x0000_i1050" type="#_x0000_t75" style="width:12pt;height:15.75pt" o:ole="">
            <v:imagedata r:id="rId55" o:title=""/>
          </v:shape>
          <o:OLEObject Type="Embed" ProgID="Equation.3" ShapeID="_x0000_i1050" DrawAspect="Content" ObjectID="_1486366648" r:id="rId56"/>
        </w:object>
      </w:r>
      <w:r>
        <w:t xml:space="preserve">, in terms </w:t>
      </w:r>
      <w:r w:rsidR="00071E7A">
        <w:t>of</w:t>
      </w:r>
      <w:r w:rsidRPr="00221138">
        <w:rPr>
          <w:position w:val="-14"/>
        </w:rPr>
        <w:object w:dxaOrig="900" w:dyaOrig="380">
          <v:shape id="_x0000_i1051" type="#_x0000_t75" style="width:45pt;height:18.75pt" o:ole="">
            <v:imagedata r:id="rId57" o:title=""/>
          </v:shape>
          <o:OLEObject Type="Embed" ProgID="Equation.3" ShapeID="_x0000_i1051" DrawAspect="Content" ObjectID="_1486366649" r:id="rId58"/>
        </w:object>
      </w:r>
      <w:r>
        <w:t xml:space="preserve">? What value of </w:t>
      </w:r>
      <w:r w:rsidRPr="00221138">
        <w:rPr>
          <w:position w:val="-12"/>
        </w:rPr>
        <w:object w:dxaOrig="300" w:dyaOrig="360">
          <v:shape id="_x0000_i1052" type="#_x0000_t75" style="width:15pt;height:18pt" o:ole="">
            <v:imagedata r:id="rId59" o:title=""/>
          </v:shape>
          <o:OLEObject Type="Embed" ProgID="Equation.3" ShapeID="_x0000_i1052" DrawAspect="Content" ObjectID="_1486366650" r:id="rId60"/>
        </w:object>
      </w:r>
      <w:r>
        <w:t xml:space="preserve"> yields unity gain at the center </w:t>
      </w:r>
      <w:r w:rsidR="00071E7A">
        <w:t>frequency</w:t>
      </w:r>
      <w:r w:rsidRPr="00221138">
        <w:rPr>
          <w:position w:val="-12"/>
        </w:rPr>
        <w:object w:dxaOrig="320" w:dyaOrig="360">
          <v:shape id="_x0000_i1053" type="#_x0000_t75" style="width:15.75pt;height:18pt" o:ole="">
            <v:imagedata r:id="rId61" o:title=""/>
          </v:shape>
          <o:OLEObject Type="Embed" ProgID="Equation.3" ShapeID="_x0000_i1053" DrawAspect="Content" ObjectID="_1486366651" r:id="rId62"/>
        </w:object>
      </w:r>
      <w:r>
        <w:t>?</w:t>
      </w:r>
    </w:p>
    <w:p w:rsidR="003331E9" w:rsidRPr="00F47DA9" w:rsidRDefault="003331E9" w:rsidP="002B009F">
      <w:pPr>
        <w:numPr>
          <w:ilvl w:val="0"/>
          <w:numId w:val="11"/>
        </w:numPr>
        <w:jc w:val="both"/>
      </w:pPr>
      <w:r>
        <w:lastRenderedPageBreak/>
        <w:t xml:space="preserve">Derive the transfer functions </w:t>
      </w:r>
      <w:r w:rsidRPr="00221138">
        <w:rPr>
          <w:position w:val="-24"/>
        </w:rPr>
        <w:object w:dxaOrig="540" w:dyaOrig="600">
          <v:shape id="_x0000_i1054" type="#_x0000_t75" style="width:27pt;height:30pt" o:ole="">
            <v:imagedata r:id="rId63" o:title=""/>
          </v:shape>
          <o:OLEObject Type="Embed" ProgID="Equation.3" ShapeID="_x0000_i1054" DrawAspect="Content" ObjectID="_1486366652" r:id="rId64"/>
        </w:object>
      </w:r>
      <w:r>
        <w:t xml:space="preserve"> </w:t>
      </w:r>
      <w:proofErr w:type="gramStart"/>
      <w:r>
        <w:t xml:space="preserve">and </w:t>
      </w:r>
      <w:proofErr w:type="gramEnd"/>
      <w:r w:rsidRPr="00221138">
        <w:rPr>
          <w:position w:val="-24"/>
        </w:rPr>
        <w:object w:dxaOrig="540" w:dyaOrig="600">
          <v:shape id="_x0000_i1055" type="#_x0000_t75" style="width:27pt;height:30pt" o:ole="">
            <v:imagedata r:id="rId65" o:title=""/>
          </v:shape>
          <o:OLEObject Type="Embed" ProgID="Equation.3" ShapeID="_x0000_i1055" DrawAspect="Content" ObjectID="_1486366653" r:id="rId66"/>
        </w:object>
      </w:r>
      <w:r>
        <w:t xml:space="preserve">. Comment on the differences/similarities. Compare the transfer function </w:t>
      </w:r>
      <w:r w:rsidRPr="00221138">
        <w:rPr>
          <w:position w:val="-24"/>
        </w:rPr>
        <w:object w:dxaOrig="540" w:dyaOrig="600">
          <v:shape id="_x0000_i1056" type="#_x0000_t75" style="width:27pt;height:30pt" o:ole="">
            <v:imagedata r:id="rId67" o:title=""/>
          </v:shape>
          <o:OLEObject Type="Embed" ProgID="Equation.3" ShapeID="_x0000_i1056" DrawAspect="Content" ObjectID="_1486366654" r:id="rId68"/>
        </w:object>
      </w:r>
      <w:r>
        <w:t xml:space="preserve"> with the general transfer function, when </w:t>
      </w:r>
      <w:r w:rsidRPr="00221138">
        <w:rPr>
          <w:position w:val="-10"/>
        </w:rPr>
        <w:object w:dxaOrig="1120" w:dyaOrig="340">
          <v:shape id="_x0000_i1057" type="#_x0000_t75" style="width:56.25pt;height:17.25pt" o:ole="">
            <v:imagedata r:id="rId69" o:title=""/>
          </v:shape>
          <o:OLEObject Type="Embed" ProgID="Equation.3" ShapeID="_x0000_i1057" DrawAspect="Content" ObjectID="_1486366655" r:id="rId70"/>
        </w:object>
      </w:r>
      <w:r>
        <w:t xml:space="preserve"> </w:t>
      </w:r>
      <w:proofErr w:type="gramStart"/>
      <w:r>
        <w:t xml:space="preserve">and </w:t>
      </w:r>
      <w:proofErr w:type="gramEnd"/>
      <w:r w:rsidRPr="00221138">
        <w:rPr>
          <w:position w:val="-12"/>
        </w:rPr>
        <w:object w:dxaOrig="620" w:dyaOrig="360">
          <v:shape id="_x0000_i1058" type="#_x0000_t75" style="width:30.75pt;height:18pt" o:ole="">
            <v:imagedata r:id="rId71" o:title=""/>
          </v:shape>
          <o:OLEObject Type="Embed" ProgID="Equation.3" ShapeID="_x0000_i1058" DrawAspect="Content" ObjectID="_1486366656" r:id="rId72"/>
        </w:object>
      </w:r>
      <w:r>
        <w:t xml:space="preserve">. What is the cut-off frequency, </w:t>
      </w:r>
      <w:r w:rsidRPr="00221138">
        <w:rPr>
          <w:position w:val="-12"/>
        </w:rPr>
        <w:object w:dxaOrig="320" w:dyaOrig="360">
          <v:shape id="_x0000_i1059" type="#_x0000_t75" style="width:15.75pt;height:18pt" o:ole="">
            <v:imagedata r:id="rId53" o:title=""/>
          </v:shape>
          <o:OLEObject Type="Embed" ProgID="Equation.3" ShapeID="_x0000_i1059" DrawAspect="Content" ObjectID="_1486366657" r:id="rId73"/>
        </w:object>
      </w:r>
      <w:proofErr w:type="gramStart"/>
      <w:r>
        <w:t xml:space="preserve">and </w:t>
      </w:r>
      <w:proofErr w:type="gramEnd"/>
      <w:r w:rsidRPr="00221138">
        <w:rPr>
          <w:position w:val="-10"/>
        </w:rPr>
        <w:object w:dxaOrig="240" w:dyaOrig="320">
          <v:shape id="_x0000_i1060" type="#_x0000_t75" style="width:12pt;height:15.75pt" o:ole="">
            <v:imagedata r:id="rId55" o:title=""/>
          </v:shape>
          <o:OLEObject Type="Embed" ProgID="Equation.3" ShapeID="_x0000_i1060" DrawAspect="Content" ObjectID="_1486366658" r:id="rId74"/>
        </w:object>
      </w:r>
      <w:r>
        <w:t xml:space="preserve">, in terms of </w:t>
      </w:r>
      <w:r w:rsidRPr="00221138">
        <w:rPr>
          <w:position w:val="-14"/>
        </w:rPr>
        <w:object w:dxaOrig="900" w:dyaOrig="380">
          <v:shape id="_x0000_i1061" type="#_x0000_t75" style="width:45pt;height:18.75pt" o:ole="">
            <v:imagedata r:id="rId57" o:title=""/>
          </v:shape>
          <o:OLEObject Type="Embed" ProgID="Equation.3" ShapeID="_x0000_i1061" DrawAspect="Content" ObjectID="_1486366659" r:id="rId75"/>
        </w:object>
      </w:r>
      <w:r>
        <w:t xml:space="preserve">? What values of </w:t>
      </w:r>
      <w:r w:rsidRPr="00221138">
        <w:rPr>
          <w:position w:val="-12"/>
        </w:rPr>
        <w:object w:dxaOrig="300" w:dyaOrig="360">
          <v:shape id="_x0000_i1062" type="#_x0000_t75" style="width:15pt;height:18pt" o:ole="">
            <v:imagedata r:id="rId76" o:title=""/>
          </v:shape>
          <o:OLEObject Type="Embed" ProgID="Equation.3" ShapeID="_x0000_i1062" DrawAspect="Content" ObjectID="_1486366660" r:id="rId77"/>
        </w:object>
      </w:r>
      <w:r>
        <w:t xml:space="preserve"> will make the gain, at the cut-off freq</w:t>
      </w:r>
      <w:r w:rsidRPr="00F47DA9">
        <w:t xml:space="preserve">uency, equal to </w:t>
      </w:r>
      <w:r w:rsidRPr="00F47DA9">
        <w:rPr>
          <w:i/>
          <w:iCs/>
        </w:rPr>
        <w:t>Q</w:t>
      </w:r>
      <w:r w:rsidRPr="00F47DA9">
        <w:t xml:space="preserve"> </w:t>
      </w:r>
      <w:proofErr w:type="gramStart"/>
      <w:r w:rsidRPr="00F47DA9">
        <w:t>for</w:t>
      </w:r>
      <w:r w:rsidR="00E326B1">
        <w:t xml:space="preserve"> </w:t>
      </w:r>
      <w:r w:rsidRPr="00F47DA9">
        <w:t xml:space="preserve"> </w:t>
      </w:r>
      <w:proofErr w:type="gramEnd"/>
      <w:r w:rsidRPr="00F47DA9">
        <w:rPr>
          <w:position w:val="-24"/>
        </w:rPr>
        <w:object w:dxaOrig="540" w:dyaOrig="600">
          <v:shape id="_x0000_i1063" type="#_x0000_t75" style="width:27pt;height:30pt" o:ole="">
            <v:imagedata r:id="rId67" o:title=""/>
          </v:shape>
          <o:OLEObject Type="Embed" ProgID="Equation.3" ShapeID="_x0000_i1063" DrawAspect="Content" ObjectID="_1486366661" r:id="rId78"/>
        </w:object>
      </w:r>
      <w:r w:rsidRPr="00F47DA9">
        <w:t>?</w:t>
      </w:r>
    </w:p>
    <w:p w:rsidR="003331E9" w:rsidRPr="00F47DA9" w:rsidRDefault="003331E9" w:rsidP="002B009F">
      <w:pPr>
        <w:numPr>
          <w:ilvl w:val="0"/>
          <w:numId w:val="11"/>
        </w:numPr>
        <w:jc w:val="both"/>
      </w:pPr>
      <w:r w:rsidRPr="00F47DA9">
        <w:t xml:space="preserve">Derive the transfer function </w:t>
      </w:r>
      <w:r w:rsidRPr="00F47DA9">
        <w:rPr>
          <w:position w:val="-24"/>
        </w:rPr>
        <w:object w:dxaOrig="540" w:dyaOrig="600">
          <v:shape id="_x0000_i1064" type="#_x0000_t75" style="width:27pt;height:30pt" o:ole="">
            <v:imagedata r:id="rId79" o:title=""/>
          </v:shape>
          <o:OLEObject Type="Embed" ProgID="Equation.3" ShapeID="_x0000_i1064" DrawAspect="Content" ObjectID="_1486366662" r:id="rId80"/>
        </w:object>
      </w:r>
      <w:r w:rsidRPr="00F47DA9">
        <w:t xml:space="preserve"> with the </w:t>
      </w:r>
      <w:r w:rsidRPr="00F47DA9">
        <w:rPr>
          <w:b/>
        </w:rPr>
        <w:t xml:space="preserve">switch </w:t>
      </w:r>
      <w:r w:rsidR="006C5C32">
        <w:rPr>
          <w:b/>
        </w:rPr>
        <w:t>open</w:t>
      </w:r>
      <w:r w:rsidRPr="00F47DA9">
        <w:rPr>
          <w:b/>
        </w:rPr>
        <w:t>ed</w:t>
      </w:r>
      <w:r>
        <w:t xml:space="preserve">, and compare it with the general transfer function when </w:t>
      </w:r>
      <w:r w:rsidRPr="00221138">
        <w:rPr>
          <w:position w:val="-10"/>
        </w:rPr>
        <w:object w:dxaOrig="680" w:dyaOrig="340">
          <v:shape id="_x0000_i1065" type="#_x0000_t75" style="width:33.75pt;height:17.25pt" o:ole="">
            <v:imagedata r:id="rId81" o:title=""/>
          </v:shape>
          <o:OLEObject Type="Embed" ProgID="Equation.3" ShapeID="_x0000_i1065" DrawAspect="Content" ObjectID="_1486366663" r:id="rId82"/>
        </w:object>
      </w:r>
      <w:r>
        <w:t xml:space="preserve"> and</w:t>
      </w:r>
      <w:proofErr w:type="gramStart"/>
      <w:r w:rsidR="00F47DA9">
        <w:t>,</w:t>
      </w:r>
      <w:r>
        <w:t xml:space="preserve"> </w:t>
      </w:r>
      <w:proofErr w:type="gramEnd"/>
      <w:r w:rsidRPr="00221138">
        <w:rPr>
          <w:position w:val="-12"/>
        </w:rPr>
        <w:object w:dxaOrig="1080" w:dyaOrig="360">
          <v:shape id="_x0000_i1066" type="#_x0000_t75" style="width:54pt;height:18pt" o:ole="">
            <v:imagedata r:id="rId83" o:title=""/>
          </v:shape>
          <o:OLEObject Type="Embed" ProgID="Equation.3" ShapeID="_x0000_i1066" DrawAspect="Content" ObjectID="_1486366664" r:id="rId84"/>
        </w:object>
      </w:r>
      <w:r>
        <w:t xml:space="preserve">, and when </w:t>
      </w:r>
      <w:r w:rsidRPr="00221138">
        <w:rPr>
          <w:position w:val="-10"/>
        </w:rPr>
        <w:object w:dxaOrig="780" w:dyaOrig="340">
          <v:shape id="_x0000_i1067" type="#_x0000_t75" style="width:39pt;height:17.25pt" o:ole="">
            <v:imagedata r:id="rId85" o:title=""/>
          </v:shape>
          <o:OLEObject Type="Embed" ProgID="Equation.3" ShapeID="_x0000_i1067" DrawAspect="Content" ObjectID="_1486366665" r:id="rId86"/>
        </w:object>
      </w:r>
      <w:r>
        <w:t xml:space="preserve"> and  </w:t>
      </w:r>
      <w:r w:rsidRPr="00221138">
        <w:rPr>
          <w:position w:val="-12"/>
        </w:rPr>
        <w:object w:dxaOrig="1080" w:dyaOrig="360">
          <v:shape id="_x0000_i1068" type="#_x0000_t75" style="width:54pt;height:18pt" o:ole="">
            <v:imagedata r:id="rId87" o:title=""/>
          </v:shape>
          <o:OLEObject Type="Embed" ProgID="Equation.3" ShapeID="_x0000_i1068" DrawAspect="Content" ObjectID="_1486366666" r:id="rId88"/>
        </w:object>
      </w:r>
      <w:r>
        <w:t xml:space="preserve">.What values of </w:t>
      </w:r>
      <w:r w:rsidRPr="00221138">
        <w:rPr>
          <w:position w:val="-12"/>
        </w:rPr>
        <w:object w:dxaOrig="300" w:dyaOrig="360">
          <v:shape id="_x0000_i1069" type="#_x0000_t75" style="width:15pt;height:18pt" o:ole="">
            <v:imagedata r:id="rId89" o:title=""/>
          </v:shape>
          <o:OLEObject Type="Embed" ProgID="Equation.3" ShapeID="_x0000_i1069" DrawAspect="Content" ObjectID="_1486366667" r:id="rId90"/>
        </w:object>
      </w:r>
      <w:r>
        <w:t xml:space="preserve"> yield band-stop and all-pass re</w:t>
      </w:r>
      <w:r w:rsidRPr="00F47DA9">
        <w:t>sponses?</w:t>
      </w:r>
      <w:r w:rsidR="00CE5217">
        <w:t xml:space="preserve"> (Hint: For All Pass R</w:t>
      </w:r>
      <w:r w:rsidR="00CE5217" w:rsidRPr="00CE5217">
        <w:rPr>
          <w:vertAlign w:val="subscript"/>
        </w:rPr>
        <w:t>1</w:t>
      </w:r>
      <w:r w:rsidR="00CE5217">
        <w:t xml:space="preserve"> = 2R</w:t>
      </w:r>
      <w:r w:rsidR="00CE5217" w:rsidRPr="00CE5217">
        <w:rPr>
          <w:vertAlign w:val="subscript"/>
        </w:rPr>
        <w:t>3</w:t>
      </w:r>
      <w:r w:rsidR="00CE5217">
        <w:t>. For Band Stop R</w:t>
      </w:r>
      <w:r w:rsidR="00CE5217" w:rsidRPr="00CE5217">
        <w:rPr>
          <w:vertAlign w:val="subscript"/>
        </w:rPr>
        <w:t>1</w:t>
      </w:r>
      <w:r w:rsidR="00CE5217">
        <w:t xml:space="preserve"> = R</w:t>
      </w:r>
      <w:r w:rsidR="00CE5217" w:rsidRPr="00CE5217">
        <w:rPr>
          <w:vertAlign w:val="subscript"/>
        </w:rPr>
        <w:t>3</w:t>
      </w:r>
      <w:r w:rsidR="00CE5217">
        <w:t>).</w:t>
      </w:r>
    </w:p>
    <w:p w:rsidR="003331E9" w:rsidRDefault="003331E9" w:rsidP="002B009F">
      <w:pPr>
        <w:numPr>
          <w:ilvl w:val="0"/>
          <w:numId w:val="11"/>
        </w:numPr>
        <w:jc w:val="both"/>
      </w:pPr>
      <w:r w:rsidRPr="00F47DA9">
        <w:t xml:space="preserve">Derive the transfer function </w:t>
      </w:r>
      <w:r w:rsidRPr="00F47DA9">
        <w:rPr>
          <w:position w:val="-24"/>
        </w:rPr>
        <w:object w:dxaOrig="540" w:dyaOrig="600">
          <v:shape id="_x0000_i1070" type="#_x0000_t75" style="width:27pt;height:30pt" o:ole="">
            <v:imagedata r:id="rId79" o:title=""/>
          </v:shape>
          <o:OLEObject Type="Embed" ProgID="Equation.3" ShapeID="_x0000_i1070" DrawAspect="Content" ObjectID="_1486366668" r:id="rId91"/>
        </w:object>
      </w:r>
      <w:r w:rsidRPr="00F47DA9">
        <w:t xml:space="preserve"> with the </w:t>
      </w:r>
      <w:r w:rsidRPr="00F47DA9">
        <w:rPr>
          <w:b/>
        </w:rPr>
        <w:t xml:space="preserve">switch </w:t>
      </w:r>
      <w:r w:rsidR="006C5C32">
        <w:rPr>
          <w:b/>
        </w:rPr>
        <w:t>close</w:t>
      </w:r>
      <w:r w:rsidR="00F47DA9" w:rsidRPr="00F47DA9">
        <w:rPr>
          <w:b/>
        </w:rPr>
        <w:t>d</w:t>
      </w:r>
      <w:r>
        <w:t>, and compare it with the general transfer function when</w:t>
      </w:r>
      <w:proofErr w:type="gramStart"/>
      <w:r w:rsidR="00280F0F">
        <w:t>,</w:t>
      </w:r>
      <w:r>
        <w:t xml:space="preserve"> </w:t>
      </w:r>
      <w:proofErr w:type="gramEnd"/>
      <w:r w:rsidRPr="00221138">
        <w:rPr>
          <w:position w:val="-12"/>
        </w:rPr>
        <w:object w:dxaOrig="1140" w:dyaOrig="360">
          <v:shape id="_x0000_i1071" type="#_x0000_t75" style="width:57pt;height:18pt" o:ole="">
            <v:imagedata r:id="rId92" o:title=""/>
          </v:shape>
          <o:OLEObject Type="Embed" ProgID="Equation.3" ShapeID="_x0000_i1071" DrawAspect="Content" ObjectID="_1486366669" r:id="rId93"/>
        </w:object>
      </w:r>
      <w:r w:rsidR="00F47DA9">
        <w:t>,</w:t>
      </w:r>
      <w:r>
        <w:t xml:space="preserve"> and </w:t>
      </w:r>
      <w:r w:rsidRPr="00221138">
        <w:rPr>
          <w:position w:val="-10"/>
        </w:rPr>
        <w:object w:dxaOrig="600" w:dyaOrig="340">
          <v:shape id="_x0000_i1072" type="#_x0000_t75" style="width:30pt;height:17.25pt" o:ole="">
            <v:imagedata r:id="rId94" o:title=""/>
          </v:shape>
          <o:OLEObject Type="Embed" ProgID="Equation.3" ShapeID="_x0000_i1072" DrawAspect="Content" ObjectID="_1486366670" r:id="rId95"/>
        </w:object>
      </w:r>
      <w:r>
        <w:t xml:space="preserve">. What values of </w:t>
      </w:r>
      <w:r w:rsidRPr="00221138">
        <w:rPr>
          <w:position w:val="-14"/>
        </w:rPr>
        <w:object w:dxaOrig="900" w:dyaOrig="380">
          <v:shape id="_x0000_i1073" type="#_x0000_t75" style="width:45pt;height:18.75pt" o:ole="">
            <v:imagedata r:id="rId96" o:title=""/>
          </v:shape>
          <o:OLEObject Type="Embed" ProgID="Equation.3" ShapeID="_x0000_i1073" DrawAspect="Content" ObjectID="_1486366671" r:id="rId97"/>
        </w:object>
      </w:r>
      <w:r>
        <w:t xml:space="preserve"> and </w:t>
      </w:r>
      <w:r w:rsidRPr="00221138">
        <w:rPr>
          <w:position w:val="-10"/>
        </w:rPr>
        <w:object w:dxaOrig="300" w:dyaOrig="340">
          <v:shape id="_x0000_i1074" type="#_x0000_t75" style="width:15pt;height:17.25pt" o:ole="">
            <v:imagedata r:id="rId98" o:title=""/>
          </v:shape>
          <o:OLEObject Type="Embed" ProgID="Equation.3" ShapeID="_x0000_i1074" DrawAspect="Content" ObjectID="_1486366672" r:id="rId99"/>
        </w:object>
      </w:r>
      <w:r>
        <w:t xml:space="preserve"> yield a high pass response?</w:t>
      </w:r>
    </w:p>
    <w:p w:rsidR="003331E9" w:rsidRDefault="003331E9"/>
    <w:p w:rsidR="003331E9" w:rsidRDefault="003331E9">
      <w:pPr>
        <w:pStyle w:val="TitleIntroChap"/>
        <w:jc w:val="left"/>
        <w:rPr>
          <w:sz w:val="24"/>
        </w:rPr>
      </w:pPr>
      <w:r>
        <w:rPr>
          <w:sz w:val="24"/>
        </w:rPr>
        <w:t>Procedure</w:t>
      </w:r>
    </w:p>
    <w:p w:rsidR="003331E9" w:rsidRDefault="003331E9" w:rsidP="002B009F">
      <w:pPr>
        <w:numPr>
          <w:ilvl w:val="0"/>
          <w:numId w:val="12"/>
        </w:numPr>
        <w:jc w:val="both"/>
      </w:pPr>
      <w:r>
        <w:t xml:space="preserve">Calculate the value of </w:t>
      </w:r>
      <w:r w:rsidRPr="00221138">
        <w:rPr>
          <w:position w:val="-10"/>
        </w:rPr>
        <w:object w:dxaOrig="1240" w:dyaOrig="340">
          <v:shape id="_x0000_i1075" type="#_x0000_t75" style="width:62.25pt;height:17.25pt" o:ole="">
            <v:imagedata r:id="rId100" o:title=""/>
          </v:shape>
          <o:OLEObject Type="Embed" ProgID="Equation.3" ShapeID="_x0000_i1075" DrawAspect="Content" ObjectID="_1486366673" r:id="rId101"/>
        </w:object>
      </w:r>
      <w:r>
        <w:t>that yields a cut-off frequency</w:t>
      </w:r>
      <w:proofErr w:type="gramStart"/>
      <w:r w:rsidR="00280F0F">
        <w:t>,</w:t>
      </w:r>
      <w:r>
        <w:t xml:space="preserve"> </w:t>
      </w:r>
      <w:r w:rsidRPr="00221138">
        <w:rPr>
          <w:position w:val="-12"/>
        </w:rPr>
        <w:object w:dxaOrig="1120" w:dyaOrig="360">
          <v:shape id="_x0000_i1076" type="#_x0000_t75" style="width:56.25pt;height:18pt" o:ole="">
            <v:imagedata r:id="rId102" o:title=""/>
          </v:shape>
          <o:OLEObject Type="Embed" ProgID="Equation.3" ShapeID="_x0000_i1076" DrawAspect="Content" ObjectID="_1486366674" r:id="rId103"/>
        </w:object>
      </w:r>
      <w:r>
        <w:t xml:space="preserve"> </w:t>
      </w:r>
      <w:r w:rsidR="00E326B1">
        <w:t>, and a Q value of 1.5. Use resistance values between 1 kΩ and 1 MΩ.</w:t>
      </w:r>
      <w:r w:rsidR="00141664">
        <w:t xml:space="preserve"> One possible solution is the following: C</w:t>
      </w:r>
      <w:r w:rsidR="00141664" w:rsidRPr="00141664">
        <w:rPr>
          <w:vertAlign w:val="subscript"/>
        </w:rPr>
        <w:t>1</w:t>
      </w:r>
      <w:r w:rsidR="00141664">
        <w:t xml:space="preserve"> = C</w:t>
      </w:r>
      <w:r w:rsidR="00141664" w:rsidRPr="00141664">
        <w:rPr>
          <w:vertAlign w:val="subscript"/>
        </w:rPr>
        <w:t>2</w:t>
      </w:r>
      <w:r w:rsidR="00141664">
        <w:t xml:space="preserve"> = 1nF; R</w:t>
      </w:r>
      <w:r w:rsidR="00141664" w:rsidRPr="00141664">
        <w:rPr>
          <w:vertAlign w:val="subscript"/>
        </w:rPr>
        <w:t>1</w:t>
      </w:r>
      <w:r w:rsidR="00141664">
        <w:t xml:space="preserve"> = R</w:t>
      </w:r>
      <w:r w:rsidR="00141664" w:rsidRPr="00141664">
        <w:rPr>
          <w:vertAlign w:val="subscript"/>
        </w:rPr>
        <w:t>2</w:t>
      </w:r>
      <w:r w:rsidR="00141664">
        <w:t xml:space="preserve"> = R</w:t>
      </w:r>
      <w:r w:rsidR="00141664" w:rsidRPr="00141664">
        <w:rPr>
          <w:vertAlign w:val="subscript"/>
        </w:rPr>
        <w:t>3</w:t>
      </w:r>
      <w:r w:rsidR="00141664">
        <w:t xml:space="preserve"> = 51 KΩ, R</w:t>
      </w:r>
      <w:r w:rsidR="00141664" w:rsidRPr="00141664">
        <w:rPr>
          <w:vertAlign w:val="subscript"/>
        </w:rPr>
        <w:t>4</w:t>
      </w:r>
      <w:r w:rsidR="00141664">
        <w:t xml:space="preserve"> = 20 KΩ. Note that the resistor values have been adjusted a bit on the basis of what is available in the lab.</w:t>
      </w:r>
    </w:p>
    <w:p w:rsidR="003331E9" w:rsidRDefault="003331E9" w:rsidP="002B009F">
      <w:pPr>
        <w:numPr>
          <w:ilvl w:val="0"/>
          <w:numId w:val="12"/>
        </w:numPr>
        <w:jc w:val="both"/>
      </w:pPr>
      <w:r>
        <w:t xml:space="preserve">Build the biquad circuit shown in Fig. </w:t>
      </w:r>
      <w:r w:rsidR="002B009F">
        <w:t>1</w:t>
      </w:r>
      <w:r w:rsidR="00071E7A">
        <w:t xml:space="preserve"> </w:t>
      </w:r>
      <w:r>
        <w:t xml:space="preserve">using the closest values of C available. If the </w:t>
      </w:r>
      <w:r w:rsidR="00280F0F">
        <w:t>value of C is</w:t>
      </w:r>
      <w:r>
        <w:t xml:space="preserve"> not the same as obtained in part 1, recalculate the cut-off </w:t>
      </w:r>
      <w:r w:rsidR="00D11290">
        <w:t>frequency</w:t>
      </w:r>
      <w:r w:rsidRPr="00221138">
        <w:rPr>
          <w:position w:val="-12"/>
        </w:rPr>
        <w:object w:dxaOrig="279" w:dyaOrig="360">
          <v:shape id="_x0000_i1077" type="#_x0000_t75" style="width:14.25pt;height:18pt" o:ole="">
            <v:imagedata r:id="rId104" o:title=""/>
          </v:shape>
          <o:OLEObject Type="Embed" ProgID="Equation.3" ShapeID="_x0000_i1077" DrawAspect="Content" ObjectID="_1486366675" r:id="rId105"/>
        </w:object>
      </w:r>
      <w:r>
        <w:t>.</w:t>
      </w:r>
    </w:p>
    <w:p w:rsidR="003331E9" w:rsidRDefault="003331E9" w:rsidP="002B009F">
      <w:pPr>
        <w:numPr>
          <w:ilvl w:val="0"/>
          <w:numId w:val="12"/>
        </w:numPr>
        <w:jc w:val="both"/>
      </w:pPr>
      <w:r>
        <w:t xml:space="preserve">Apply 1V, peak-to-peak sinusoidal signal to the circuit, and sweep the frequency from 100 Hz to 15 KHz in step 500 Hz. </w:t>
      </w:r>
      <w:r w:rsidR="00401764">
        <w:t xml:space="preserve">Keep the switch </w:t>
      </w:r>
      <w:r w:rsidR="00401764" w:rsidRPr="00401764">
        <w:rPr>
          <w:i/>
        </w:rPr>
        <w:t>closed</w:t>
      </w:r>
      <w:r w:rsidR="00401764">
        <w:t xml:space="preserve">. </w:t>
      </w:r>
      <w:r>
        <w:t>Measure the three points</w:t>
      </w:r>
      <w:proofErr w:type="gramStart"/>
      <w:r w:rsidR="00280F0F">
        <w:t>,</w:t>
      </w:r>
      <w:r>
        <w:t xml:space="preserve"> </w:t>
      </w:r>
      <w:proofErr w:type="gramEnd"/>
      <w:r w:rsidRPr="00221138">
        <w:rPr>
          <w:position w:val="-12"/>
        </w:rPr>
        <w:object w:dxaOrig="1680" w:dyaOrig="360">
          <v:shape id="_x0000_i1078" type="#_x0000_t75" style="width:84pt;height:18pt" o:ole="">
            <v:imagedata r:id="rId106" o:title=""/>
          </v:shape>
          <o:OLEObject Type="Embed" ProgID="Equation.3" ShapeID="_x0000_i1078" DrawAspect="Content" ObjectID="_1486366676" r:id="rId107"/>
        </w:object>
      </w:r>
      <w:r>
        <w:t xml:space="preserve">. Take </w:t>
      </w:r>
      <w:bookmarkStart w:id="0" w:name="_GoBack"/>
      <w:bookmarkEnd w:id="0"/>
      <w:r>
        <w:t>more readings at smaller intervals, around the cut-off frequency.</w:t>
      </w:r>
    </w:p>
    <w:p w:rsidR="003331E9" w:rsidRDefault="003331E9" w:rsidP="002B009F">
      <w:pPr>
        <w:numPr>
          <w:ilvl w:val="0"/>
          <w:numId w:val="12"/>
        </w:numPr>
        <w:jc w:val="both"/>
      </w:pPr>
      <w:r>
        <w:t xml:space="preserve">With the switch </w:t>
      </w:r>
      <w:r w:rsidR="00B95B04">
        <w:rPr>
          <w:i/>
        </w:rPr>
        <w:t>open</w:t>
      </w:r>
      <w:r w:rsidR="00141664">
        <w:rPr>
          <w:i/>
        </w:rPr>
        <w:t>ed</w:t>
      </w:r>
      <w:r>
        <w:t xml:space="preserve">, apply a 1V, peak-to-peak sinusoidal signal to the circuit. Monitor the output </w:t>
      </w:r>
      <w:proofErr w:type="gramStart"/>
      <w:r>
        <w:t xml:space="preserve">at </w:t>
      </w:r>
      <w:proofErr w:type="gramEnd"/>
      <w:r w:rsidRPr="00221138">
        <w:rPr>
          <w:position w:val="-12"/>
        </w:rPr>
        <w:object w:dxaOrig="279" w:dyaOrig="360">
          <v:shape id="_x0000_i1079" type="#_x0000_t75" style="width:14.25pt;height:18pt" o:ole="">
            <v:imagedata r:id="rId108" o:title=""/>
          </v:shape>
          <o:OLEObject Type="Embed" ProgID="Equation.3" ShapeID="_x0000_i1079" DrawAspect="Content" ObjectID="_1486366677" r:id="rId109"/>
        </w:object>
      </w:r>
      <w:r>
        <w:t>. Sweep the frequency from 500 Hz to 15 KHz</w:t>
      </w:r>
      <w:r w:rsidR="00991D66">
        <w:t>.</w:t>
      </w:r>
      <w:r>
        <w:t xml:space="preserve"> </w:t>
      </w:r>
    </w:p>
    <w:p w:rsidR="003331E9" w:rsidRDefault="003331E9" w:rsidP="002B009F">
      <w:pPr>
        <w:pStyle w:val="TitleIntroChap"/>
        <w:jc w:val="both"/>
        <w:rPr>
          <w:sz w:val="24"/>
        </w:rPr>
      </w:pPr>
    </w:p>
    <w:p w:rsidR="003331E9" w:rsidRDefault="003331E9" w:rsidP="002B009F">
      <w:pPr>
        <w:pStyle w:val="TitleIntroChap"/>
        <w:jc w:val="both"/>
        <w:rPr>
          <w:sz w:val="32"/>
        </w:rPr>
      </w:pPr>
    </w:p>
    <w:sectPr w:rsidR="003331E9" w:rsidSect="00D35E6A">
      <w:footerReference w:type="even" r:id="rId110"/>
      <w:footerReference w:type="default" r:id="rId111"/>
      <w:pgSz w:w="12240" w:h="15840"/>
      <w:pgMar w:top="1440" w:right="1440" w:bottom="1440" w:left="1440" w:header="720" w:footer="720" w:gutter="0"/>
      <w:paperSrc w:first="11629" w:other="11629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66" w:rsidRDefault="000A3E66">
      <w:r>
        <w:separator/>
      </w:r>
    </w:p>
  </w:endnote>
  <w:endnote w:type="continuationSeparator" w:id="0">
    <w:p w:rsidR="000A3E66" w:rsidRDefault="000A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E9" w:rsidRDefault="00ED65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3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1E9" w:rsidRDefault="00333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E9" w:rsidRDefault="00ED65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31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B04">
      <w:rPr>
        <w:rStyle w:val="PageNumber"/>
        <w:noProof/>
      </w:rPr>
      <w:t>14</w:t>
    </w:r>
    <w:r>
      <w:rPr>
        <w:rStyle w:val="PageNumber"/>
      </w:rPr>
      <w:fldChar w:fldCharType="end"/>
    </w:r>
  </w:p>
  <w:p w:rsidR="003331E9" w:rsidRDefault="00333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66" w:rsidRDefault="000A3E66">
      <w:r>
        <w:separator/>
      </w:r>
    </w:p>
  </w:footnote>
  <w:footnote w:type="continuationSeparator" w:id="0">
    <w:p w:rsidR="000A3E66" w:rsidRDefault="000A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29E"/>
    <w:multiLevelType w:val="hybridMultilevel"/>
    <w:tmpl w:val="7EB2D0FE"/>
    <w:lvl w:ilvl="0" w:tplc="41C6CC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0328C"/>
    <w:multiLevelType w:val="hybridMultilevel"/>
    <w:tmpl w:val="FB48B0BA"/>
    <w:lvl w:ilvl="0" w:tplc="CB0AF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B7AF6"/>
    <w:multiLevelType w:val="hybridMultilevel"/>
    <w:tmpl w:val="E806D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204CC"/>
    <w:multiLevelType w:val="hybridMultilevel"/>
    <w:tmpl w:val="9C34EC18"/>
    <w:lvl w:ilvl="0" w:tplc="36303C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C018A"/>
    <w:multiLevelType w:val="hybridMultilevel"/>
    <w:tmpl w:val="67603672"/>
    <w:lvl w:ilvl="0" w:tplc="E6C6E9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A40A0"/>
    <w:multiLevelType w:val="hybridMultilevel"/>
    <w:tmpl w:val="1BB8C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A5259"/>
    <w:multiLevelType w:val="hybridMultilevel"/>
    <w:tmpl w:val="B60EC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408"/>
    <w:multiLevelType w:val="hybridMultilevel"/>
    <w:tmpl w:val="17243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A76336"/>
    <w:multiLevelType w:val="hybridMultilevel"/>
    <w:tmpl w:val="901AA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387A28"/>
    <w:multiLevelType w:val="hybridMultilevel"/>
    <w:tmpl w:val="61743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32980"/>
    <w:multiLevelType w:val="hybridMultilevel"/>
    <w:tmpl w:val="ADA03F24"/>
    <w:lvl w:ilvl="0" w:tplc="9C282E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417EB"/>
    <w:multiLevelType w:val="hybridMultilevel"/>
    <w:tmpl w:val="8CECE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A3009"/>
    <w:multiLevelType w:val="hybridMultilevel"/>
    <w:tmpl w:val="2CFC3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0D"/>
    <w:rsid w:val="0002410D"/>
    <w:rsid w:val="00071E7A"/>
    <w:rsid w:val="000A3E66"/>
    <w:rsid w:val="000E5E83"/>
    <w:rsid w:val="00141664"/>
    <w:rsid w:val="0014491A"/>
    <w:rsid w:val="00183BFA"/>
    <w:rsid w:val="00207CF1"/>
    <w:rsid w:val="00221138"/>
    <w:rsid w:val="00260714"/>
    <w:rsid w:val="00280F0F"/>
    <w:rsid w:val="002B009F"/>
    <w:rsid w:val="002C6C8B"/>
    <w:rsid w:val="003331E9"/>
    <w:rsid w:val="00401764"/>
    <w:rsid w:val="004B3CF1"/>
    <w:rsid w:val="005F4535"/>
    <w:rsid w:val="006C5C32"/>
    <w:rsid w:val="00796B66"/>
    <w:rsid w:val="007B11AF"/>
    <w:rsid w:val="00812715"/>
    <w:rsid w:val="00821F9B"/>
    <w:rsid w:val="008272D4"/>
    <w:rsid w:val="008B665D"/>
    <w:rsid w:val="008D2C09"/>
    <w:rsid w:val="00991D66"/>
    <w:rsid w:val="00A3200C"/>
    <w:rsid w:val="00B052E6"/>
    <w:rsid w:val="00B86DF6"/>
    <w:rsid w:val="00B95B04"/>
    <w:rsid w:val="00CE5217"/>
    <w:rsid w:val="00D0016D"/>
    <w:rsid w:val="00D11290"/>
    <w:rsid w:val="00D35E6A"/>
    <w:rsid w:val="00DD5322"/>
    <w:rsid w:val="00E303F5"/>
    <w:rsid w:val="00E326B1"/>
    <w:rsid w:val="00ED650D"/>
    <w:rsid w:val="00F47DA9"/>
    <w:rsid w:val="00F52661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  <w15:docId w15:val="{61BC1563-41E1-4024-A2B8-5DDAF551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3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ntroChap">
    <w:name w:val="Title Intro Chap"/>
    <w:basedOn w:val="Normal"/>
    <w:rsid w:val="00221138"/>
    <w:pPr>
      <w:spacing w:after="120" w:line="360" w:lineRule="atLeast"/>
      <w:jc w:val="center"/>
    </w:pPr>
    <w:rPr>
      <w:b/>
      <w:smallCaps/>
      <w:sz w:val="40"/>
    </w:rPr>
  </w:style>
  <w:style w:type="paragraph" w:customStyle="1" w:styleId="TitleIntroII">
    <w:name w:val="Title Intro II"/>
    <w:basedOn w:val="Normal"/>
    <w:rsid w:val="00221138"/>
    <w:pPr>
      <w:tabs>
        <w:tab w:val="left" w:pos="450"/>
      </w:tabs>
      <w:spacing w:after="120" w:line="360" w:lineRule="atLeast"/>
    </w:pPr>
    <w:rPr>
      <w:rFonts w:ascii="Arial" w:hAnsi="Arial"/>
      <w:b/>
      <w:smallCaps/>
    </w:rPr>
  </w:style>
  <w:style w:type="paragraph" w:styleId="DocumentMap">
    <w:name w:val="Document Map"/>
    <w:basedOn w:val="Normal"/>
    <w:semiHidden/>
    <w:rsid w:val="00221138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221138"/>
    <w:pPr>
      <w:spacing w:before="120" w:after="120"/>
    </w:pPr>
    <w:rPr>
      <w:b/>
    </w:rPr>
  </w:style>
  <w:style w:type="paragraph" w:styleId="BodyText">
    <w:name w:val="Body Text"/>
    <w:basedOn w:val="Normal"/>
    <w:rsid w:val="00221138"/>
    <w:pPr>
      <w:jc w:val="both"/>
    </w:pPr>
  </w:style>
  <w:style w:type="paragraph" w:styleId="PlainText">
    <w:name w:val="Plain Text"/>
    <w:basedOn w:val="Normal"/>
    <w:rsid w:val="00221138"/>
    <w:rPr>
      <w:rFonts w:ascii="Courier New" w:hAnsi="Courier New" w:cs="Courier New"/>
      <w:sz w:val="20"/>
    </w:rPr>
  </w:style>
  <w:style w:type="paragraph" w:styleId="Footer">
    <w:name w:val="footer"/>
    <w:basedOn w:val="Normal"/>
    <w:rsid w:val="00221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1138"/>
  </w:style>
  <w:style w:type="paragraph" w:styleId="BalloonText">
    <w:name w:val="Balloon Text"/>
    <w:basedOn w:val="Normal"/>
    <w:link w:val="BalloonTextChar"/>
    <w:uiPriority w:val="99"/>
    <w:semiHidden/>
    <w:unhideWhenUsed/>
    <w:rsid w:val="00141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5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E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102" Type="http://schemas.openxmlformats.org/officeDocument/2006/relationships/image" Target="media/image45.wmf"/><Relationship Id="rId110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13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2.wmf"/><Relationship Id="rId1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106" Type="http://schemas.openxmlformats.org/officeDocument/2006/relationships/image" Target="media/image4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6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5</vt:lpstr>
    </vt:vector>
  </TitlesOfParts>
  <Company>Concordia University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5</dc:title>
  <dc:creator>Belal Ibrahim</dc:creator>
  <cp:lastModifiedBy>Concordia university</cp:lastModifiedBy>
  <cp:revision>4</cp:revision>
  <cp:lastPrinted>2013-09-30T14:05:00Z</cp:lastPrinted>
  <dcterms:created xsi:type="dcterms:W3CDTF">2013-09-30T18:27:00Z</dcterms:created>
  <dcterms:modified xsi:type="dcterms:W3CDTF">2015-02-25T15:50:00Z</dcterms:modified>
</cp:coreProperties>
</file>